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36" w:rsidRDefault="003F0036" w:rsidP="003F0036">
      <w:pPr>
        <w:bidi/>
        <w:rPr>
          <w:sz w:val="24"/>
          <w:szCs w:val="24"/>
          <w:lang w:val="en-US"/>
        </w:rPr>
      </w:pPr>
      <w:r w:rsidRPr="00617985">
        <w:rPr>
          <w:rFonts w:cs="Arial"/>
          <w:sz w:val="24"/>
          <w:szCs w:val="24"/>
          <w:lang w:val="en-US"/>
        </w:rPr>
        <w:pict>
          <v:rect id="Rectangle 54705" o:spid="_x0000_s1027" style="position:absolute;left:0;text-align:left;margin-left:470.7pt;margin-top:-25.95pt;width:5.6pt;height:32.7pt;flip:x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" fillcolor="#f79646 [3209]" strokecolor="#e36c0a [2409]" strokeweight="1pt"/>
        </w:pict>
      </w:r>
      <w:r w:rsidRPr="00617985">
        <w:rPr>
          <w:rFonts w:cs="Arial"/>
          <w:sz w:val="24"/>
          <w:szCs w:val="24"/>
          <w:lang w:val="en-US"/>
        </w:rPr>
        <w:pict>
          <v:rect id="Rectangle 54702" o:spid="_x0000_s1026" style="position:absolute;left:0;text-align:left;margin-left:79.9pt;margin-top:-21.65pt;width:381.75pt;height:40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" filled="f" stroked="f">
            <v:textbox inset="0,0,0,0">
              <w:txbxContent>
                <w:p w:rsidR="003F0036" w:rsidRPr="00897E21" w:rsidRDefault="003F0036" w:rsidP="003F0036">
                  <w:pPr>
                    <w:bidi/>
                    <w:jc w:val="both"/>
                    <w:rPr>
                      <w:rFonts w:ascii="URW DIN Arabic Black" w:hAnsi="URW DIN Arabic Black" w:cs="URW DIN Arabic Black"/>
                      <w:b/>
                      <w:bCs/>
                      <w:color w:val="E36C0A" w:themeColor="accent6" w:themeShade="BF"/>
                      <w:sz w:val="52"/>
                      <w:szCs w:val="52"/>
                    </w:rPr>
                  </w:pPr>
                  <w:r w:rsidRPr="00CA21C9">
                    <w:rPr>
                      <w:rFonts w:ascii="URW DIN Arabic Black" w:hAnsi="URW DIN Arabic Black" w:cs="Times New Roman" w:hint="cs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عملية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E36C0A" w:themeColor="accent6" w:themeShade="BF"/>
                      <w:sz w:val="52"/>
                      <w:szCs w:val="52"/>
                    </w:rPr>
                    <w:t xml:space="preserve"> </w:t>
                  </w:r>
                  <w:r w:rsidRPr="00CA21C9">
                    <w:rPr>
                      <w:rFonts w:ascii="URW DIN Arabic Black" w:hAnsi="URW DIN Arabic Black" w:cs="Times New Roman" w:hint="cs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جني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E36C0A" w:themeColor="accent6" w:themeShade="BF"/>
                      <w:sz w:val="52"/>
                      <w:szCs w:val="52"/>
                    </w:rPr>
                    <w:t xml:space="preserve"> </w:t>
                  </w:r>
                  <w:r w:rsidRPr="00CA21C9">
                    <w:rPr>
                      <w:rFonts w:ascii="URW DIN Arabic Black" w:hAnsi="URW DIN Arabic Black" w:cs="Times New Roman" w:hint="cs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وتثمين</w:t>
                  </w:r>
                  <w:r w:rsidRPr="003F0036">
                    <w:rPr>
                      <w:rFonts w:hint="cs"/>
                      <w:rtl/>
                    </w:rPr>
                    <w:t xml:space="preserve"> </w:t>
                  </w:r>
                  <w:r w:rsidRPr="003F0036">
                    <w:rPr>
                      <w:rFonts w:ascii="URW DIN Arabic Black" w:hAnsi="URW DIN Arabic Black" w:cs="Times New Roman" w:hint="cs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القرع</w:t>
                  </w:r>
                  <w:r w:rsidRPr="003F0036">
                    <w:rPr>
                      <w:rFonts w:ascii="URW DIN Arabic Black" w:hAnsi="URW DIN Arabic Black" w:cs="Times New Roman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 xml:space="preserve"> </w:t>
                  </w:r>
                  <w:r w:rsidRPr="003F0036">
                    <w:rPr>
                      <w:rFonts w:ascii="URW DIN Arabic Black" w:hAnsi="URW DIN Arabic Black" w:cs="Times New Roman" w:hint="cs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الأخضر</w:t>
                  </w:r>
                  <w:r w:rsidRPr="003F0036">
                    <w:rPr>
                      <w:rFonts w:ascii="URW DIN Arabic Black" w:hAnsi="URW DIN Arabic Black" w:cs="Times New Roman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 xml:space="preserve"> (</w:t>
                  </w:r>
                  <w:proofErr w:type="spellStart"/>
                  <w:r w:rsidRPr="003F0036">
                    <w:rPr>
                      <w:rFonts w:ascii="URW DIN Arabic Black" w:hAnsi="URW DIN Arabic Black" w:cs="Times New Roman" w:hint="cs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الكورجيط</w:t>
                  </w:r>
                  <w:proofErr w:type="spellEnd"/>
                  <w:r w:rsidRPr="003F0036">
                    <w:rPr>
                      <w:rFonts w:ascii="URW DIN Arabic Black" w:hAnsi="URW DIN Arabic Black" w:cs="Times New Roman"/>
                      <w:b/>
                      <w:bCs/>
                      <w:color w:val="E36C0A" w:themeColor="accent6" w:themeShade="BF"/>
                      <w:sz w:val="52"/>
                      <w:szCs w:val="52"/>
                      <w:rtl/>
                    </w:rPr>
                    <w:t>)</w:t>
                  </w:r>
                </w:p>
              </w:txbxContent>
            </v:textbox>
          </v:rect>
        </w:pict>
      </w:r>
      <w:r w:rsidRPr="00617985">
        <w:rPr>
          <w:rFonts w:cs="Arial"/>
          <w:sz w:val="24"/>
          <w:szCs w:val="24"/>
          <w:lang w:val="en-US"/>
        </w:rPr>
        <w:pict>
          <v:shape id="Shape 2323" o:spid="_x0000_s1029" style="position:absolute;left:0;text-align:left;margin-left:-74.6pt;margin-top:-86.75pt;width:258.95pt;height:202.9pt;z-index:251663360;visibility:visible;mso-width-relative:margin;mso-height-relative:margin" coordsize="2896576,2253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" adj="0,,0" path="m2896576,1469903c1881651,2253906,308957,1609661,16367,100952l,e" filled="f" strokecolor="#f79646 [3209]" strokeweight="1.5pt">
            <v:stroke joinstyle="miter"/>
            <v:formulas/>
            <v:path arrowok="t" o:connecttype="segments" textboxrect="0,0,2896576,2253906"/>
          </v:shape>
        </w:pict>
      </w:r>
      <w:r w:rsidRPr="00617985">
        <w:rPr>
          <w:rFonts w:cs="Arial"/>
          <w:sz w:val="24"/>
          <w:szCs w:val="24"/>
          <w:lang w:val="en-US"/>
        </w:rPr>
        <w:pict>
          <v:shape id="Shape 2324" o:spid="_x0000_s1028" style="position:absolute;left:0;text-align:left;margin-left:-42.85pt;margin-top:-73.65pt;width:222.5pt;height:189.8pt;z-index:251662336;visibility:visible;mso-width-relative:margin;mso-height-relative:margin" coordsize="2306905,20358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" adj="0,,0" path="m2306905,1659985v,,-1697913,375873,-2256191,-1472155l,e" filled="f" strokecolor="#f79646 [3209]" strokeweight="1.5pt">
            <v:stroke joinstyle="miter"/>
            <v:formulas/>
            <v:path arrowok="t" o:connecttype="segments" textboxrect="0,0,2306905,2035858"/>
          </v:shape>
        </w:pict>
      </w:r>
    </w:p>
    <w:p w:rsidR="003F0036" w:rsidRDefault="003F0036" w:rsidP="003F0036">
      <w:pPr>
        <w:bidi/>
        <w:rPr>
          <w:sz w:val="24"/>
          <w:szCs w:val="24"/>
          <w:lang w:val="en-US"/>
        </w:rPr>
      </w:pPr>
    </w:p>
    <w:p w:rsidR="003F0036" w:rsidRPr="00F04B2B" w:rsidRDefault="003F0036" w:rsidP="003F0036">
      <w:pPr>
        <w:bidi/>
        <w:rPr>
          <w:sz w:val="24"/>
          <w:szCs w:val="24"/>
          <w:rtl/>
          <w:lang w:val="en-US"/>
        </w:rPr>
      </w:pPr>
    </w:p>
    <w:p w:rsidR="003F0036" w:rsidRDefault="003F0036" w:rsidP="003F0036">
      <w:pPr>
        <w:jc w:val="right"/>
        <w:rPr>
          <w:b/>
          <w:bCs/>
          <w:sz w:val="32"/>
          <w:szCs w:val="32"/>
          <w:lang w:val="en-US"/>
        </w:rPr>
      </w:pPr>
    </w:p>
    <w:p w:rsidR="003F0036" w:rsidRPr="00C51845" w:rsidRDefault="003F0036" w:rsidP="003F0036">
      <w:pPr>
        <w:bidi/>
        <w:jc w:val="both"/>
        <w:rPr>
          <w:b/>
          <w:bCs/>
          <w:sz w:val="36"/>
          <w:szCs w:val="36"/>
          <w:lang w:val="en-US"/>
        </w:rPr>
      </w:pP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تجنى الثمار في الطور المناسب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للإستهلاك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الأخضر الطازج، وذوق المستهلك الذي يفضل الثمار ذات الحجم الصغير وغير مكتمل النمو للبذور، وهي مرحلة تعرف بالنضج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الإستهلاكي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>، حيث يتم الجني بعد حوالي 40 إلى 45 يوم من الزراعة في فترة الصيف و بعد 50 يوم في الشتاء، ويتم الجني مرتين في الأسبوع وكل خمسة أيام في فترة الشتاء، ويجب إجراء عمليات الجني بانتظام و عدم ترك الثمار حتى تكبر عن حجم التسويق المطلوب فهي سهلة الخدش و التلف. حيث يقوم العامل بلف الثمرة لفة خفيفة فتنفصل الثمرة و تنقل إلى صناديق في مكان مظلل.</w:t>
      </w:r>
    </w:p>
    <w:p w:rsidR="003F0036" w:rsidRPr="00C51845" w:rsidRDefault="003F0036" w:rsidP="003F0036">
      <w:pPr>
        <w:bidi/>
        <w:jc w:val="center"/>
        <w:rPr>
          <w:sz w:val="28"/>
          <w:szCs w:val="28"/>
          <w:lang w:val="en-US"/>
        </w:rPr>
      </w:pPr>
      <w:r w:rsidRPr="00C51845">
        <w:rPr>
          <w:noProof/>
          <w:sz w:val="28"/>
          <w:szCs w:val="28"/>
          <w:lang w:eastAsia="fr-FR" w:bidi="ar-SA"/>
        </w:rPr>
        <w:drawing>
          <wp:inline distT="0" distB="0" distL="0" distR="0">
            <wp:extent cx="3912474" cy="2606644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Q13911634C__FEL386_TECH_COND_COURGETTE_RECOLTE_NIV1_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515" cy="26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الجني بعناية يقلل الخدوش و الجروح ويزيد من كمية الثمار القابلة للتسويق. بعد القطف تجمع الثمار في مكان مظلل تتوفر فيه التهوية اللازمة. ثم تفرز و </w:t>
      </w:r>
      <w:proofErr w:type="gramStart"/>
      <w:r w:rsidRPr="00C51845">
        <w:rPr>
          <w:rFonts w:hint="cs"/>
          <w:sz w:val="28"/>
          <w:szCs w:val="28"/>
          <w:rtl/>
          <w:lang w:val="en-US"/>
        </w:rPr>
        <w:t>تصنف</w:t>
      </w:r>
      <w:proofErr w:type="gramEnd"/>
      <w:r w:rsidRPr="00C51845">
        <w:rPr>
          <w:rFonts w:hint="cs"/>
          <w:sz w:val="28"/>
          <w:szCs w:val="28"/>
          <w:rtl/>
          <w:lang w:val="en-US"/>
        </w:rPr>
        <w:t xml:space="preserve"> حسب الجودة و الحجم. </w:t>
      </w:r>
      <w:proofErr w:type="gramStart"/>
      <w:r w:rsidRPr="00C51845">
        <w:rPr>
          <w:rFonts w:hint="cs"/>
          <w:sz w:val="28"/>
          <w:szCs w:val="28"/>
          <w:rtl/>
          <w:lang w:val="en-US"/>
        </w:rPr>
        <w:t>ويفضل</w:t>
      </w:r>
      <w:proofErr w:type="gramEnd"/>
      <w:r w:rsidRPr="00C51845">
        <w:rPr>
          <w:rFonts w:hint="cs"/>
          <w:sz w:val="28"/>
          <w:szCs w:val="28"/>
          <w:rtl/>
          <w:lang w:val="en-US"/>
        </w:rPr>
        <w:t xml:space="preserve"> تداولها في صناديق من البلاستيك مبطنة بالكرتون ذي الفتحات للتهوية على شكل أطباق تفضل الواحدة عن الأخرى بورق خاص لمنع الخدوش و فقدان الرطوبة في طبقات لا تزيد عن 4 أو 5 لحماية الثمار من الضغط الذاتي. وتنقل إلى الأسواق و المخازن. أما عند التصدير فتعبأ في عبوات كرتونية سعتها 3 أو 5 كيلوغرامات.</w:t>
      </w: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يمكن حفظ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الكورجيط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بحالة جيدة لمدة تتراوح بين 10 و 13 درجة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مائوية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و رطوبة نسبية تتراوح بين 85 و 95 بالمائة.</w:t>
      </w: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يجب ألا تتجاوز حدود الرواسب القصوى إن وجدت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ماهو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مسموح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به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و المدرجة ضمن مرجع لجنة الدستور الغذائي </w:t>
      </w:r>
      <w:r w:rsidRPr="00C51845">
        <w:rPr>
          <w:sz w:val="28"/>
          <w:szCs w:val="28"/>
          <w:lang w:val="en-US"/>
        </w:rPr>
        <w:t xml:space="preserve">(Codex </w:t>
      </w:r>
      <w:proofErr w:type="spellStart"/>
      <w:r w:rsidRPr="00C51845">
        <w:rPr>
          <w:sz w:val="28"/>
          <w:szCs w:val="28"/>
          <w:lang w:val="en-US"/>
        </w:rPr>
        <w:t>Alimentarius</w:t>
      </w:r>
      <w:proofErr w:type="spellEnd"/>
      <w:r w:rsidRPr="00C51845">
        <w:rPr>
          <w:sz w:val="28"/>
          <w:szCs w:val="28"/>
          <w:lang w:val="en-US"/>
        </w:rPr>
        <w:t>)</w:t>
      </w:r>
      <w:r w:rsidRPr="00C51845">
        <w:rPr>
          <w:rFonts w:hint="cs"/>
          <w:sz w:val="28"/>
          <w:szCs w:val="28"/>
          <w:rtl/>
          <w:lang w:val="en-US"/>
        </w:rPr>
        <w:t xml:space="preserve"> المعتمد كمرجع توافقي عالمي.</w:t>
      </w: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بالنسبة للتعبئة و التغليف يجب أن </w:t>
      </w:r>
      <w:proofErr w:type="gramStart"/>
      <w:r w:rsidRPr="00C51845">
        <w:rPr>
          <w:rFonts w:hint="cs"/>
          <w:sz w:val="28"/>
          <w:szCs w:val="28"/>
          <w:rtl/>
          <w:lang w:val="en-US"/>
        </w:rPr>
        <w:t>تكون :</w:t>
      </w:r>
      <w:proofErr w:type="gramEnd"/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proofErr w:type="gramStart"/>
      <w:r w:rsidRPr="00C51845">
        <w:rPr>
          <w:rFonts w:hint="cs"/>
          <w:sz w:val="28"/>
          <w:szCs w:val="28"/>
          <w:rtl/>
          <w:lang w:val="en-US"/>
        </w:rPr>
        <w:lastRenderedPageBreak/>
        <w:t>محتويات</w:t>
      </w:r>
      <w:proofErr w:type="gramEnd"/>
      <w:r w:rsidRPr="00C51845">
        <w:rPr>
          <w:rFonts w:hint="cs"/>
          <w:sz w:val="28"/>
          <w:szCs w:val="28"/>
          <w:rtl/>
          <w:lang w:val="en-US"/>
        </w:rPr>
        <w:t xml:space="preserve"> العبوة متجانسة ومن نوع وصنف و حجم ذو نوعية واحدة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طرق تعبئة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الكورجيط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تضمن الحماية له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مواد التغليف المستخدمة داخل العبوة جديدة ونظيفة من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النةعية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التي لا تسبب أي ضرر داخلي أو خارجي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للمنتوج</w:t>
      </w:r>
      <w:proofErr w:type="spellEnd"/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proofErr w:type="gramStart"/>
      <w:r w:rsidRPr="00C51845">
        <w:rPr>
          <w:rFonts w:hint="cs"/>
          <w:sz w:val="28"/>
          <w:szCs w:val="28"/>
          <w:rtl/>
          <w:lang w:val="en-US"/>
        </w:rPr>
        <w:t>الأختام</w:t>
      </w:r>
      <w:proofErr w:type="gramEnd"/>
      <w:r w:rsidRPr="00C51845">
        <w:rPr>
          <w:rFonts w:hint="cs"/>
          <w:sz w:val="28"/>
          <w:szCs w:val="28"/>
          <w:rtl/>
          <w:lang w:val="en-US"/>
        </w:rPr>
        <w:t xml:space="preserve"> المستعملة مطابقة للمواصفات التجارية المسموح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بها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>، بشرط أن تكون الطباعة و الأوراق اللاصقة قد استعمل فيها حبر أو صمغ غير سامين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proofErr w:type="gramStart"/>
      <w:r w:rsidRPr="00C51845">
        <w:rPr>
          <w:rFonts w:hint="cs"/>
          <w:sz w:val="28"/>
          <w:szCs w:val="28"/>
          <w:rtl/>
          <w:lang w:val="en-US"/>
        </w:rPr>
        <w:t>من</w:t>
      </w:r>
      <w:proofErr w:type="gramEnd"/>
      <w:r w:rsidRPr="00C51845">
        <w:rPr>
          <w:rFonts w:hint="cs"/>
          <w:sz w:val="28"/>
          <w:szCs w:val="28"/>
          <w:rtl/>
          <w:lang w:val="en-US"/>
        </w:rPr>
        <w:t xml:space="preserve"> نفس المنشأ و الصنف و الجودة و الحجم و إلى حد ما في درجة واحدة من النمو و النضج و اللون.</w:t>
      </w: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في ما يخص العنونة و التأشير يجب أن تدون على كل عبوة من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المنتوج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البيانات الإيضاحية التالية المدرجة أسفله، و أن تكون واضحة وغير قابلة للزوال و بالإمكان مشاهدتها من الجهة الخارجية :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اسم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المنوج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و يكتب النوع التجاري إذا كانت محتويات العبوة غير ظاهرة من الخارج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>اسم المصدر و عنوانه و العلامة التجارية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>الدرجة و الصنف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>بلد المنشأ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>حجم الثمار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>الوزن الصافي في عدد الوحدات</w:t>
      </w:r>
    </w:p>
    <w:p w:rsidR="003F0036" w:rsidRPr="00C51845" w:rsidRDefault="003F0036" w:rsidP="003F0036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>ختم الإدارة المشرفة على الترويج</w:t>
      </w:r>
    </w:p>
    <w:p w:rsidR="003F0036" w:rsidRPr="00C51845" w:rsidRDefault="003F0036" w:rsidP="003F0036">
      <w:pPr>
        <w:bidi/>
        <w:jc w:val="both"/>
        <w:rPr>
          <w:sz w:val="28"/>
          <w:szCs w:val="28"/>
          <w:rtl/>
          <w:lang w:val="en-US"/>
        </w:rPr>
      </w:pPr>
      <w:r w:rsidRPr="00C51845">
        <w:rPr>
          <w:rFonts w:hint="cs"/>
          <w:sz w:val="28"/>
          <w:szCs w:val="28"/>
          <w:rtl/>
          <w:lang w:val="en-US"/>
        </w:rPr>
        <w:t xml:space="preserve">يجب توفر مقاييس فنية في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الكورجيط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المعد للشحن أو التسويق وذلك بعد إجراء عمليات الفرز و التعبئة و التغليف ويجب أن يكون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المنتوج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سليما، كاملا، طازج المظهر، صلبا، نظيفا وخاليا من أي مواد غريبة على سطحه، كما يجب أن يكون خاليا من الخدوش و غير متشقق و مكتمل النمو. كما يشترط أن يكون خاليا من آثار العفن أو العيوب التي تجعله غير صالح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للإستهلاك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، ومن إصابات الأمراض و الآفات و التجاويف. بالإضافة إلى مراعاة نضج </w:t>
      </w:r>
      <w:proofErr w:type="spellStart"/>
      <w:r w:rsidRPr="00C51845">
        <w:rPr>
          <w:rFonts w:hint="cs"/>
          <w:sz w:val="28"/>
          <w:szCs w:val="28"/>
          <w:rtl/>
          <w:lang w:val="en-US"/>
        </w:rPr>
        <w:t>المنتوج</w:t>
      </w:r>
      <w:proofErr w:type="spellEnd"/>
      <w:r w:rsidRPr="00C51845">
        <w:rPr>
          <w:rFonts w:hint="cs"/>
          <w:sz w:val="28"/>
          <w:szCs w:val="28"/>
          <w:rtl/>
          <w:lang w:val="en-US"/>
        </w:rPr>
        <w:t xml:space="preserve"> و التي تمكنه من تحمل النقل و التداول لضمان وصوله بشكل ملائم إلى الجهة المقصودة.</w:t>
      </w:r>
    </w:p>
    <w:p w:rsidR="003F0036" w:rsidRPr="00F71FC1" w:rsidRDefault="003F0036" w:rsidP="003F0036">
      <w:pPr>
        <w:bidi/>
        <w:jc w:val="center"/>
        <w:rPr>
          <w:sz w:val="24"/>
          <w:szCs w:val="24"/>
          <w:rtl/>
          <w:lang w:val="en-US"/>
        </w:rPr>
      </w:pPr>
      <w:r>
        <w:rPr>
          <w:rFonts w:hint="cs"/>
          <w:noProof/>
          <w:sz w:val="24"/>
          <w:szCs w:val="24"/>
          <w:rtl/>
          <w:lang w:eastAsia="fr-FR" w:bidi="ar-SA"/>
        </w:rPr>
        <w:drawing>
          <wp:inline distT="0" distB="0" distL="0" distR="0">
            <wp:extent cx="5353298" cy="1789129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urgette-76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89" cy="180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36" w:rsidRPr="00443521" w:rsidRDefault="003F0036" w:rsidP="003F0036">
      <w:pPr>
        <w:rPr>
          <w:b/>
          <w:bCs/>
          <w:sz w:val="32"/>
          <w:szCs w:val="32"/>
          <w:rtl/>
          <w:lang w:val="en-US"/>
        </w:rPr>
      </w:pPr>
    </w:p>
    <w:p w:rsidR="00625DD3" w:rsidRDefault="00625DD3"/>
    <w:sectPr w:rsidR="00625DD3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DIN Arabic Black">
    <w:altName w:val="Times New Roman"/>
    <w:charset w:val="00"/>
    <w:family w:val="auto"/>
    <w:pitch w:val="variable"/>
    <w:sig w:usb0="00000001" w:usb1="9000207B" w:usb2="00000008" w:usb3="00000000" w:csb0="0000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6252"/>
    <w:multiLevelType w:val="hybridMultilevel"/>
    <w:tmpl w:val="5C7EC1E6"/>
    <w:lvl w:ilvl="0" w:tplc="85BABC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036"/>
    <w:rsid w:val="003F0036"/>
    <w:rsid w:val="00596486"/>
    <w:rsid w:val="005F18B0"/>
    <w:rsid w:val="00625DD3"/>
    <w:rsid w:val="00776F76"/>
    <w:rsid w:val="00941799"/>
    <w:rsid w:val="009742F1"/>
    <w:rsid w:val="00BC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36"/>
    <w:pPr>
      <w:spacing w:after="160" w:line="259" w:lineRule="auto"/>
    </w:pPr>
    <w:rPr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00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036"/>
    <w:rPr>
      <w:rFonts w:ascii="Tahoma" w:hAnsi="Tahoma" w:cs="Tahoma"/>
      <w:sz w:val="16"/>
      <w:szCs w:val="16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2020-03-13T17:10:00Z</dcterms:created>
  <dcterms:modified xsi:type="dcterms:W3CDTF">2020-03-13T17:11:00Z</dcterms:modified>
</cp:coreProperties>
</file>